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ARGUMENT, IN ONE PAGE</w:t>
      </w:r>
    </w:p>
    <w:p>
      <w:r>
        <w:t>This is your case in plain English. It is not for filing. It is so you can hold the whole thing in your head, and so you can tell in ten seconds whether any new fact matters or not.</w:t>
      </w:r>
    </w:p>
    <w:p>
      <w:pPr>
        <w:pStyle w:val="Heading1"/>
      </w:pPr>
      <w:r>
        <w:t>The one sentence version</w:t>
      </w:r>
    </w:p>
    <w:p>
      <w:r>
        <w:t>Three British children, I am their mother, they cannot be expected to leave the UK.</w:t>
      </w:r>
    </w:p>
    <w:p>
      <w:pPr>
        <w:pStyle w:val="Heading1"/>
      </w:pPr>
      <w:r>
        <w:t>The chain</w:t>
      </w:r>
    </w:p>
    <w:p>
      <w:r>
        <w:rPr>
          <w:b/>
        </w:rPr>
        <w:t>1. Why FLR(FP) and not a family visa.</w:t>
      </w:r>
      <w:r>
        <w:t xml:space="preserve"> A visitor cannot switch in-country to a partner or parent route. So this is a freestanding Article 8 human rights claim made outside the Immigration Rules.</w:t>
      </w:r>
    </w:p>
    <w:p>
      <w:r>
        <w:rPr>
          <w:b/>
        </w:rPr>
        <w:t>2. The facts that do the work.</w:t>
      </w:r>
      <w:r>
        <w:t xml:space="preserve"> Married to a British citizen since 2013. Three children, 13, 12 and 10. Eaymon was born in the UK, so he is British *otherwise than by descent*, so under s.2(1)(a) British Nationality Act 1981 all three children acquired British citizenship automatically at birth, wherever they were born. Family moved to the UK April 2026; children in school here since 13 April 2026. The passports evidence the citizenship. They do not create it.</w:t>
      </w:r>
    </w:p>
    <w:p>
      <w:r>
        <w:rPr>
          <w:b/>
        </w:rPr>
        <w:t>3. I am their mother and their primary carer.</w:t>
      </w:r>
      <w:r>
        <w:t xml:space="preserve"> Relationship: the birth certificates. Nobody will contest it. Care: school and club records naming me as parent and emergency contact, the payment trail, the daily timetable of school runs and clubs.</w:t>
      </w:r>
    </w:p>
    <w:p>
      <w:r>
        <w:rPr>
          <w:b/>
        </w:rPr>
        <w:t>4. Their best interests are a primary consideration.</w:t>
      </w:r>
      <w:r>
        <w:t xml:space="preserve"> s.55 Borders, Citizenship and Immigration Act 2009. Their best interests are to stay in the UK, in their schools, with both parents.</w:t>
      </w:r>
    </w:p>
    <w:p>
      <w:r>
        <w:rPr>
          <w:b/>
        </w:rPr>
        <w:t>5. THE CENTRAL SUBMISSION - s.117B(6) NIAA 2002.</w:t>
      </w:r>
      <w:r>
        <w:t xml:space="preserve"> Three limbs:</w:t>
      </w:r>
    </w:p>
    <w:p>
      <w:pPr>
        <w:pStyle w:val="ListBullet"/>
      </w:pPr>
      <w:r>
        <w:t>I am not liable to deportation.</w:t>
      </w:r>
    </w:p>
    <w:p>
      <w:pPr>
        <w:pStyle w:val="ListBullet"/>
      </w:pPr>
      <w:r>
        <w:t>I have a genuine and subsisting parental relationship with a qualifying child.</w:t>
      </w:r>
    </w:p>
    <w:p>
      <w:r>
        <w:t>Under s.117D(1) a British citizen child IS a qualifying child, with no residence requirement at all. I have three.</w:t>
      </w:r>
    </w:p>
    <w:p>
      <w:pPr>
        <w:pStyle w:val="ListBullet"/>
      </w:pPr>
      <w:r>
        <w:t>It would not be reasonable to expect them to leave the UK. They are British</w:t>
      </w:r>
    </w:p>
    <w:p>
      <w:r>
        <w:t>citizens in their own country, settled in school.</w:t>
      </w:r>
    </w:p>
    <w:p>
      <w:r>
        <w:t xml:space="preserve">If those are met, </w:t>
      </w:r>
      <w:r>
        <w:rPr>
          <w:b/>
        </w:rPr>
        <w:t>the public interest does not require my removal.</w:t>
      </w:r>
      <w:r>
        <w:t xml:space="preserve"> That is the statutory language. It is not a balancing exercise to be won on sympathy; it is a conclusion Parliament has already drawn. KO (Nigeria) [2018] UKSC 53 - reasonableness focuses on the child, not the parent's conduct. ZH (Tanzania) [2011] UKSC 4 - British children cannot simply be expected to relocate out of their own country.</w:t>
      </w:r>
    </w:p>
    <w:p>
      <w:r>
        <w:rPr>
          <w:b/>
        </w:rPr>
        <w:t>THIS IS THE WHOLE CASE. Everything below only supports it or defends it.</w:t>
      </w:r>
    </w:p>
    <w:p>
      <w:r>
        <w:rPr>
          <w:b/>
        </w:rPr>
        <w:t>6. Proportionality.</w:t>
      </w:r>
      <w:r>
        <w:t xml:space="preserve"> Set out through the Razgar five-stage structure, ending at proportionality, where s.117B(6) is determinative.</w:t>
      </w:r>
    </w:p>
    <w:p>
      <w:r>
        <w:rPr>
          <w:b/>
        </w:rPr>
        <w:t>7. The rebuttal - and the ONLY place money appears.</w:t>
      </w:r>
      <w:r>
        <w:t xml:space="preserve"> Their refusal line: "go to Canada, apply for entry clearance, a temporary separation is proportionate." Answer: concede Chikwamba was narrowed by Alam and Rahman [2023] EWCA Civ 30, then show the separation would NOT be short:</w:t>
      </w:r>
    </w:p>
    <w:p>
      <w:pPr>
        <w:pStyle w:val="ListBullet"/>
      </w:pPr>
      <w:r>
        <w:t>US payslips do not count toward the GBP 29,000 minimum income requirement for</w:t>
      </w:r>
    </w:p>
    <w:p>
      <w:r>
        <w:t>entry clearance.</w:t>
      </w:r>
    </w:p>
    <w:p>
      <w:pPr>
        <w:pStyle w:val="ListBullet"/>
      </w:pPr>
      <w:r>
        <w:t>Beamhaus has no completed financial year until ~mid-2027.</w:t>
      </w:r>
    </w:p>
    <w:p>
      <w:pPr>
        <w:pStyle w:val="ListBullet"/>
      </w:pPr>
      <w:r>
        <w:t>If Eaymon contracts rather than takes salaried employment, that gets LONGER, not</w:t>
      </w:r>
    </w:p>
    <w:p>
      <w:r>
        <w:t>shorter (company income is assessed on completed financial years; salaried employment opens after six months).</w:t>
      </w:r>
    </w:p>
    <w:p>
      <w:pPr>
        <w:pStyle w:val="ListBullet"/>
      </w:pPr>
      <w:r>
        <w:t>Nearest family are 75-85 miles away in Telford and Wolverhampton. Nobody within</w:t>
      </w:r>
    </w:p>
    <w:p>
      <w:r>
        <w:t>reach of the schools if he is working and travelling to London.</w:t>
      </w:r>
    </w:p>
    <w:p>
      <w:r>
        <w:rPr>
          <w:b/>
        </w:rPr>
        <w:t>8. The public interest factors - s.117B(1)-(5).</w:t>
      </w:r>
      <w:r>
        <w:t xml:space="preserve"> English: yes. Financially independent, no recourse to public funds - but neutral rather than positive, per Rhuppiah [2018] UKSC 58. No unlawful working, no overstaying, no refusals, no criminal record. Status precarious, so little weight to private life - but family life with British children is not caught by that.</w:t>
      </w:r>
    </w:p>
    <w:p>
      <w:r>
        <w:rPr>
          <w:b/>
        </w:rPr>
        <w:t>9. Therefore.</w:t>
      </w:r>
      <w:r>
        <w:t xml:space="preserve"> Refusal would breach Article 8. Leave should be granted.</w:t>
      </w:r>
    </w:p>
    <w:p>
      <w:pPr>
        <w:pStyle w:val="Heading1"/>
      </w:pPr>
      <w:r>
        <w:t>How to use this</w:t>
      </w:r>
    </w:p>
    <w:p>
      <w:r>
        <w:t>When a new fact turns up, ask which step it touches.</w:t>
      </w:r>
    </w:p>
    <w:p>
      <w:pPr>
        <w:pStyle w:val="ListBullet"/>
      </w:pPr>
      <w:r>
        <w:t>Touches step 2 or 5? It matters. Deal with it.</w:t>
      </w:r>
    </w:p>
    <w:p>
      <w:pPr>
        <w:pStyle w:val="ListBullet"/>
      </w:pPr>
      <w:r>
        <w:t>Touches step 7? It is a rebuttal detail. Worth a small edit, not a rewrite.</w:t>
      </w:r>
    </w:p>
    <w:p>
      <w:pPr>
        <w:pStyle w:val="ListBullet"/>
      </w:pPr>
      <w:r>
        <w:t>Touches nothing? Leave it out. A bundle is stronger for what it omits.</w:t>
      </w:r>
    </w:p>
    <w:p>
      <w:r>
        <w:t>Most new facts touch nothing. That is normal and it is fine.</w:t>
      </w:r>
    </w:p>
    <w:p>
      <w:pPr>
        <w:pStyle w:val="Heading1"/>
      </w:pPr>
      <w:r>
        <w:t>Cross-reference to the covering letter</w:t>
      </w:r>
    </w:p>
    <w:tbl>
      <w:tblPr>
        <w:tblStyle w:val="TableGrid"/>
        <w:tblW w:type="auto" w:w="0"/>
        <w:tblLook w:firstColumn="1" w:firstRow="1" w:lastColumn="0" w:lastRow="0" w:noHBand="0" w:noVBand="1" w:val="04A0"/>
      </w:tblPr>
      <w:tblGrid>
        <w:gridCol w:w="4824"/>
        <w:gridCol w:w="4824"/>
      </w:tblGrid>
      <w:tr>
        <w:tc>
          <w:tcPr>
            <w:tcW w:type="dxa" w:w="4824"/>
          </w:tcPr>
          <w:p>
            <w:r/>
            <w:r>
              <w:rPr>
                <w:b/>
              </w:rPr>
              <w:t>Here</w:t>
            </w:r>
          </w:p>
        </w:tc>
        <w:tc>
          <w:tcPr>
            <w:tcW w:type="dxa" w:w="4824"/>
          </w:tcPr>
          <w:p>
            <w:r/>
            <w:r>
              <w:rPr>
                <w:b/>
              </w:rPr>
              <w:t>Covering letter</w:t>
            </w:r>
          </w:p>
        </w:tc>
      </w:tr>
      <w:tr>
        <w:tc>
          <w:tcPr>
            <w:tcW w:type="dxa" w:w="4824"/>
          </w:tcPr>
          <w:p>
            <w:r/>
            <w:r>
              <w:t>1</w:t>
            </w:r>
          </w:p>
        </w:tc>
        <w:tc>
          <w:tcPr>
            <w:tcW w:type="dxa" w:w="4824"/>
          </w:tcPr>
          <w:p>
            <w:r/>
            <w:r>
              <w:t>s.1 The application and how it is put</w:t>
            </w:r>
          </w:p>
        </w:tc>
      </w:tr>
      <w:tr>
        <w:tc>
          <w:tcPr>
            <w:tcW w:type="dxa" w:w="4824"/>
          </w:tcPr>
          <w:p>
            <w:r/>
            <w:r>
              <w:t>2</w:t>
            </w:r>
          </w:p>
        </w:tc>
        <w:tc>
          <w:tcPr>
            <w:tcW w:type="dxa" w:w="4824"/>
          </w:tcPr>
          <w:p>
            <w:r/>
            <w:r>
              <w:t>s.2 Immigration history; s.3 The family</w:t>
            </w:r>
          </w:p>
        </w:tc>
      </w:tr>
      <w:tr>
        <w:tc>
          <w:tcPr>
            <w:tcW w:type="dxa" w:w="4824"/>
          </w:tcPr>
          <w:p>
            <w:r/>
            <w:r>
              <w:t>3</w:t>
            </w:r>
          </w:p>
        </w:tc>
        <w:tc>
          <w:tcPr>
            <w:tcW w:type="dxa" w:w="4824"/>
          </w:tcPr>
          <w:p>
            <w:r/>
            <w:r>
              <w:t>s.4 Genuine and subsisting parental relationship, and primary carer</w:t>
            </w:r>
          </w:p>
        </w:tc>
      </w:tr>
      <w:tr>
        <w:tc>
          <w:tcPr>
            <w:tcW w:type="dxa" w:w="4824"/>
          </w:tcPr>
          <w:p>
            <w:r/>
            <w:r>
              <w:t>4</w:t>
            </w:r>
          </w:p>
        </w:tc>
        <w:tc>
          <w:tcPr>
            <w:tcW w:type="dxa" w:w="4824"/>
          </w:tcPr>
          <w:p>
            <w:r/>
            <w:r>
              <w:t>s.5 Best interests of the children, s.55</w:t>
            </w:r>
          </w:p>
        </w:tc>
      </w:tr>
      <w:tr>
        <w:tc>
          <w:tcPr>
            <w:tcW w:type="dxa" w:w="4824"/>
          </w:tcPr>
          <w:p>
            <w:r/>
            <w:r>
              <w:t>5</w:t>
            </w:r>
          </w:p>
        </w:tc>
        <w:tc>
          <w:tcPr>
            <w:tcW w:type="dxa" w:w="4824"/>
          </w:tcPr>
          <w:p>
            <w:r/>
            <w:r>
              <w:t>s.6 Section 117B(6), the central submission</w:t>
            </w:r>
          </w:p>
        </w:tc>
      </w:tr>
      <w:tr>
        <w:tc>
          <w:tcPr>
            <w:tcW w:type="dxa" w:w="4824"/>
          </w:tcPr>
          <w:p>
            <w:r/>
            <w:r>
              <w:t>6</w:t>
            </w:r>
          </w:p>
        </w:tc>
        <w:tc>
          <w:tcPr>
            <w:tcW w:type="dxa" w:w="4824"/>
          </w:tcPr>
          <w:p>
            <w:r/>
            <w:r>
              <w:t>s.7 Proportionality, the Razgar structure</w:t>
            </w:r>
          </w:p>
        </w:tc>
      </w:tr>
      <w:tr>
        <w:tc>
          <w:tcPr>
            <w:tcW w:type="dxa" w:w="4824"/>
          </w:tcPr>
          <w:p>
            <w:r/>
            <w:r>
              <w:t>7</w:t>
            </w:r>
          </w:p>
        </w:tc>
        <w:tc>
          <w:tcPr>
            <w:tcW w:type="dxa" w:w="4824"/>
          </w:tcPr>
          <w:p>
            <w:r/>
            <w:r>
              <w:t>s.8 Why requiring entry clearance from abroad would be disproportionate</w:t>
            </w:r>
          </w:p>
        </w:tc>
      </w:tr>
      <w:tr>
        <w:tc>
          <w:tcPr>
            <w:tcW w:type="dxa" w:w="4824"/>
          </w:tcPr>
          <w:p>
            <w:r/>
            <w:r>
              <w:t>8</w:t>
            </w:r>
          </w:p>
        </w:tc>
        <w:tc>
          <w:tcPr>
            <w:tcW w:type="dxa" w:w="4824"/>
          </w:tcPr>
          <w:p>
            <w:r/>
            <w:r>
              <w:t>s.9 The public interest factors, s.117B(1)-(5)</w:t>
            </w:r>
          </w:p>
        </w:tc>
      </w:tr>
      <w:tr>
        <w:tc>
          <w:tcPr>
            <w:tcW w:type="dxa" w:w="4824"/>
          </w:tcPr>
          <w:p>
            <w:r/>
            <w:r>
              <w:t>9</w:t>
            </w:r>
          </w:p>
        </w:tc>
        <w:tc>
          <w:tcPr>
            <w:tcW w:type="dxa" w:w="4824"/>
          </w:tcPr>
          <w:p>
            <w:r/>
            <w:r>
              <w:t>s.10 Conclusion</w:t>
            </w:r>
          </w:p>
        </w:tc>
      </w:tr>
    </w:tbl>
    <w:sectPr w:rsidR="00FC693F" w:rsidRPr="0006063C" w:rsidSect="000346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