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DOCUMENT CHECKLIST — FLR(FP), Article 8 family life</w:t>
      </w:r>
    </w:p>
    <w:p>
      <w:r>
        <w:t xml:space="preserve">Status key: </w:t>
      </w:r>
      <w:r>
        <w:rPr>
          <w:b/>
        </w:rPr>
        <w:t>HAVE</w:t>
      </w:r>
      <w:r>
        <w:t xml:space="preserve"> / </w:t>
      </w:r>
      <w:r>
        <w:rPr>
          <w:b/>
        </w:rPr>
        <w:t>CHASING</w:t>
      </w:r>
      <w:r>
        <w:t xml:space="preserve"> / </w:t>
      </w:r>
      <w:r>
        <w:rPr>
          <w:b/>
        </w:rPr>
        <w:t>WAITING</w:t>
      </w:r>
      <w:r>
        <w:t xml:space="preserve"> / </w:t>
      </w:r>
      <w:r>
        <w:rPr>
          <w:b/>
        </w:rPr>
        <w:t>CHECK</w:t>
      </w:r>
    </w:p>
    <w:p>
      <w:pPr>
        <w:pStyle w:val="Heading2"/>
      </w:pPr>
      <w:r>
        <w:t>A. The application itself</w:t>
      </w:r>
    </w:p>
    <w:p>
      <w:r>
        <w:t>| | Item | Status |</w:t>
      </w:r>
    </w:p>
    <w:p>
      <w:r>
        <w:t>|---|---|---|</w:t>
      </w:r>
    </w:p>
    <w:p>
      <w:r>
        <w:t>| A1 | FLR(FP) online form, completed and submitted | |</w:t>
      </w:r>
    </w:p>
    <w:p>
      <w:r>
        <w:t xml:space="preserve">| A2 | Application fee </w:t>
      </w:r>
      <w:r>
        <w:rPr>
          <w:b/>
        </w:rPr>
        <w:t>£1,407</w:t>
      </w:r>
      <w:r>
        <w:t xml:space="preserve"> paid | |</w:t>
      </w:r>
    </w:p>
    <w:p>
      <w:r>
        <w:t>| A3 | Immigration Health Surcharge paid (~</w:t>
      </w:r>
      <w:r>
        <w:rPr>
          <w:b/>
        </w:rPr>
        <w:t>£2,587.50</w:t>
      </w:r>
      <w:r>
        <w:t xml:space="preserve"> for a 30-month grant) | |</w:t>
      </w:r>
    </w:p>
    <w:p>
      <w:r>
        <w:t>| A4 | UKVCAS biometrics appointment booked (budget £100-£265; free slots are scarce) | |</w:t>
      </w:r>
    </w:p>
    <w:p>
      <w:r>
        <w:t xml:space="preserve">⚠ The application is </w:t>
      </w:r>
      <w:r>
        <w:rPr>
          <w:b/>
        </w:rPr>
        <w:t>made</w:t>
      </w:r>
      <w:r>
        <w:t xml:space="preserve"> when A1, A2 and A3 are complete. That is what triggers s.3C. A4 can fall after your leave expires.</w:t>
      </w:r>
    </w:p>
    <w:p>
      <w:pPr>
        <w:pStyle w:val="Heading2"/>
      </w:pPr>
      <w:r>
        <w:t>B. Your identity and status</w:t>
      </w:r>
    </w:p>
    <w:p>
      <w:r>
        <w:t>| | Item | Status |</w:t>
      </w:r>
    </w:p>
    <w:p>
      <w:r>
        <w:t>|---|---|---|</w:t>
      </w:r>
    </w:p>
    <w:p>
      <w:r>
        <w:t>| B1 | Passport, biodata page | HAVE |</w:t>
      </w:r>
    </w:p>
    <w:p>
      <w:r>
        <w:t xml:space="preserve">| B2 | Passport page showing the </w:t>
      </w:r>
      <w:r>
        <w:rPr>
          <w:b/>
        </w:rPr>
        <w:t>UK entry stamp</w:t>
      </w:r>
      <w:r>
        <w:t xml:space="preserve"> | </w:t>
      </w:r>
      <w:r>
        <w:rPr>
          <w:b/>
        </w:rPr>
        <w:t>CHECK — the exact date is still unconfirmed</w:t>
      </w:r>
      <w:r>
        <w:t xml:space="preserve"> |</w:t>
      </w:r>
    </w:p>
    <w:p>
      <w:r>
        <w:t>| B3 | If there is no stamp: DFDS Dunkirk–Dover ferry booking and boarding record as evidence of the date of entry | CHECK |</w:t>
      </w:r>
    </w:p>
    <w:p>
      <w:pPr>
        <w:pStyle w:val="Heading2"/>
      </w:pPr>
      <w:r>
        <w:t>C. The marriage and the sponsor</w:t>
      </w:r>
    </w:p>
    <w:p>
      <w:r>
        <w:t>| | Item | Status |</w:t>
      </w:r>
    </w:p>
    <w:p>
      <w:r>
        <w:t>|---|---|---|</w:t>
      </w:r>
    </w:p>
    <w:p>
      <w:r>
        <w:t>| C1 | Marriage certificate, 31 May 2013, Atlanta, Georgia | |</w:t>
      </w:r>
    </w:p>
    <w:p>
      <w:r>
        <w:t>| C2 | Eaymon's British passport, biodata page | |</w:t>
      </w:r>
    </w:p>
    <w:p>
      <w:r>
        <w:t xml:space="preserve">| C3 | </w:t>
      </w:r>
      <w:r>
        <w:rPr>
          <w:b/>
        </w:rPr>
        <w:t>Eaymon's full UK birth certificate</w:t>
      </w:r>
      <w:r>
        <w:t xml:space="preserve"> — this is what proves he is British </w:t>
      </w:r>
      <w:r>
        <w:rPr>
          <w:i/>
        </w:rPr>
        <w:t>otherwise than by descent</w:t>
      </w:r>
      <w:r>
        <w:t>, which is what makes the children British. Include it even though the passport is in the bundle. | |</w:t>
      </w:r>
    </w:p>
    <w:p>
      <w:pPr>
        <w:pStyle w:val="Heading2"/>
      </w:pPr>
      <w:r>
        <w:t>D. The children — the load-bearing evidence</w:t>
      </w:r>
    </w:p>
    <w:p>
      <w:r>
        <w:t>| | Item | Status |</w:t>
      </w:r>
    </w:p>
    <w:p>
      <w:r>
        <w:t>|---|---|---|</w:t>
      </w:r>
    </w:p>
    <w:p>
      <w:r>
        <w:t>| D1 | Ariya — full (long-form) birth certificate naming both parents | |</w:t>
      </w:r>
    </w:p>
    <w:p>
      <w:r>
        <w:t>| D2 | Kira — full birth certificate | |</w:t>
      </w:r>
    </w:p>
    <w:p>
      <w:r>
        <w:t>| D3 | Riley — full birth certificate | |</w:t>
      </w:r>
    </w:p>
    <w:p>
      <w:r>
        <w:t xml:space="preserve">| D4 | Three British passports | </w:t>
      </w:r>
      <w:r>
        <w:rPr>
          <w:b/>
        </w:rPr>
        <w:t>WAITING — expected ~10 Sept</w:t>
      </w:r>
      <w:r>
        <w:t xml:space="preserve"> |</w:t>
      </w:r>
    </w:p>
    <w:p>
      <w:r>
        <w:t>| D5 | If not issued in time: HMPO application references and acknowledgements, plus a line in the covering letter saying they will be forwarded on issue | |</w:t>
      </w:r>
    </w:p>
    <w:p>
      <w:r>
        <w:t>⚠ The entire s.117B(6) argument rests on D1–D4. Nothing else in the bundle matters as much.</w:t>
      </w:r>
    </w:p>
    <w:p>
      <w:pPr>
        <w:pStyle w:val="Heading2"/>
      </w:pPr>
      <w:r>
        <w:t>E. Living together</w:t>
      </w:r>
    </w:p>
    <w:p>
      <w:r>
        <w:t xml:space="preserve">⚠ </w:t>
      </w:r>
      <w:r>
        <w:rPr>
          <w:b/>
        </w:rPr>
        <w:t>Suba is not on the tenancy, the bank statements or the utilities.</w:t>
      </w:r>
      <w:r>
        <w:t xml:space="preserve"> That is correct and expected: a visitor has no right to rent under the Immigration Act 2014, which is why Eaymon signed as sole tenant. It matters much less here than it would in an Appendix FM partner application, because this is not a partner application and there is no joint-correspondence requirement to satisfy. </w:t>
      </w:r>
      <w:r>
        <w:rPr>
          <w:b/>
        </w:rPr>
        <w:t>Do not try to get added to anything now.</w:t>
      </w:r>
      <w:r>
        <w:t xml:space="preserve"> Evidence created in the month before an application reads as exactly that.</w:t>
      </w:r>
    </w:p>
    <w:p>
      <w:r>
        <w:t>| | Item | Status |</w:t>
      </w:r>
    </w:p>
    <w:p>
      <w:r>
        <w:t>|---|---|---|</w:t>
      </w:r>
    </w:p>
    <w:p>
      <w:r>
        <w:t xml:space="preserve">| E1 | Tenancy agreement (Eaymon sole tenant) — and </w:t>
      </w:r>
      <w:r>
        <w:rPr>
          <w:b/>
        </w:rPr>
        <w:t>his statement must explain why</w:t>
      </w:r>
      <w:r>
        <w:t>, in one line: a visitor has no right to rent. Unexplained, her absence from the tenancy suggests she lives elsewhere. | |</w:t>
      </w:r>
    </w:p>
    <w:p>
      <w:r>
        <w:t xml:space="preserve">| E2 | ⚠⚠ </w:t>
      </w:r>
      <w:r>
        <w:rPr>
          <w:b/>
        </w:rPr>
        <w:t>Council tax: CHECK THE BASIS OF THE 25% DISCOUNT.</w:t>
      </w:r>
      <w:r>
        <w:t xml:space="preserve"> If claimed as a </w:t>
      </w:r>
      <w:r>
        <w:rPr>
          <w:b/>
        </w:rPr>
        <w:t>disregard</w:t>
      </w:r>
      <w:r>
        <w:t xml:space="preserve"> (council told two adults live there, one disregarded for immigration status), it is lawful and it is </w:t>
      </w:r>
      <w:r>
        <w:rPr>
          <w:i/>
        </w:rPr>
        <w:t>useful</w:t>
      </w:r>
      <w:r>
        <w:t xml:space="preserve"> evidence the council knows she lives there. If claimed as </w:t>
      </w:r>
      <w:r>
        <w:rPr>
          <w:b/>
        </w:rPr>
        <w:t>sole occupancy</w:t>
      </w:r>
      <w:r>
        <w:t xml:space="preserve">, there is a council record stating she does not live at the property, which contradicts this entire application. </w:t>
      </w:r>
      <w:r>
        <w:rPr>
          <w:b/>
        </w:rPr>
        <w:t>Establish which before filing.</w:t>
      </w:r>
      <w:r>
        <w:t xml:space="preserve"> | </w:t>
      </w:r>
      <w:r>
        <w:rPr>
          <w:b/>
        </w:rPr>
        <w:t>CHECK — highest priority</w:t>
      </w:r>
      <w:r>
        <w:t xml:space="preserve"> |</w:t>
      </w:r>
    </w:p>
    <w:p>
      <w:r>
        <w:t>| E3 | Utility bills (Eaymon's name) | |</w:t>
      </w:r>
    </w:p>
    <w:p>
      <w:r>
        <w:t xml:space="preserve">| E4 | </w:t>
      </w:r>
      <w:r>
        <w:rPr>
          <w:b/>
        </w:rPr>
        <w:t>School records</w:t>
      </w:r>
      <w:r>
        <w:t xml:space="preserve"> — both schools hold Suba as parent and emergency contact at the address. This is a third-party official record and is </w:t>
      </w:r>
      <w:r>
        <w:rPr>
          <w:i/>
        </w:rPr>
        <w:t>better</w:t>
      </w:r>
      <w:r>
        <w:t xml:space="preserve"> evidence than a utility bill. | Strongest item |</w:t>
      </w:r>
    </w:p>
    <w:p>
      <w:r>
        <w:t xml:space="preserve">| E5 | </w:t>
      </w:r>
      <w:r>
        <w:rPr>
          <w:b/>
        </w:rPr>
        <w:t>GP registration</w:t>
      </w:r>
      <w:r>
        <w:t xml:space="preserve"> for Suba and the three children at the local practice. Do this anyway, not for the application. | |</w:t>
      </w:r>
    </w:p>
    <w:p>
      <w:r>
        <w:t>| E6 | Any post addressed to Suba at the address: NHS letters, phone account, dentist, club correspondence, subscriptions. Spread across April–September. | |</w:t>
      </w:r>
    </w:p>
    <w:p>
      <w:r>
        <w:t>| E7 | Photographs inside the home, dated across April–September | |</w:t>
      </w:r>
    </w:p>
    <w:p>
      <w:r>
        <w:t xml:space="preserve">| E8 | Optional: landlord or agent letter confirming who occupies the property. ⚠ </w:t>
      </w:r>
      <w:r>
        <w:rPr>
          <w:b/>
        </w:rPr>
        <w:t>Read the tenancy terms first</w:t>
      </w:r>
      <w:r>
        <w:t xml:space="preserve"> to confirm family occupancy is permitted. If unclear, leave it alone. | |</w:t>
      </w:r>
    </w:p>
    <w:p>
      <w:pPr>
        <w:pStyle w:val="Heading2"/>
      </w:pPr>
      <w:r>
        <w:t>F. Your relationship with the children</w:t>
      </w:r>
    </w:p>
    <w:p>
      <w:r>
        <w:t>| | Item | Status |</w:t>
      </w:r>
    </w:p>
    <w:p>
      <w:r>
        <w:t>|---|---|---|</w:t>
      </w:r>
    </w:p>
    <w:p>
      <w:r>
        <w:t xml:space="preserve">| F1 | </w:t>
      </w:r>
      <w:r>
        <w:rPr>
          <w:b/>
        </w:rPr>
        <w:t>Bramhall High letter</w:t>
      </w:r>
      <w:r>
        <w:t xml:space="preserve"> — Ariya and Kira: enrolment date, year group, you named as parent and emergency contact | CHASING — email the office now |</w:t>
      </w:r>
    </w:p>
    <w:p>
      <w:r>
        <w:t xml:space="preserve">| F2 | </w:t>
      </w:r>
      <w:r>
        <w:rPr>
          <w:b/>
        </w:rPr>
        <w:t>Meadowbank Primary letter</w:t>
      </w:r>
      <w:r>
        <w:t xml:space="preserve"> — Riley: same | CHASING — email the office now |</w:t>
      </w:r>
    </w:p>
    <w:p>
      <w:r>
        <w:t>| F3 | GP registration for the three children | |</w:t>
      </w:r>
    </w:p>
    <w:p>
      <w:r>
        <w:t xml:space="preserve">| F4 | </w:t>
      </w:r>
      <w:r>
        <w:rPr>
          <w:b/>
        </w:rPr>
        <w:t>Manchester City</w:t>
      </w:r>
      <w:r>
        <w:t xml:space="preserve"> — registration record, payment records, parent-app screenshot showing your access, coach correspondence. ⚠ Registration shows Eaymon; do not imply otherwise. Do not request a letter. | |</w:t>
      </w:r>
    </w:p>
    <w:p>
      <w:r>
        <w:t xml:space="preserve">| F5 | </w:t>
      </w:r>
      <w:r>
        <w:rPr>
          <w:b/>
        </w:rPr>
        <w:t>Riley's gymnastics</w:t>
      </w:r>
      <w:r>
        <w:t xml:space="preserve"> — Friday enrolment, </w:t>
      </w:r>
      <w:r>
        <w:rPr>
          <w:b/>
        </w:rPr>
        <w:t>your email asking to move to Thursday</w:t>
      </w:r>
      <w:r>
        <w:t xml:space="preserve"> ⭐, club confirmation of the Thursday class | ⭐ PDF this today |</w:t>
      </w:r>
    </w:p>
    <w:p>
      <w:r>
        <w:t xml:space="preserve">| F6 | </w:t>
      </w:r>
      <w:r>
        <w:rPr>
          <w:b/>
        </w:rPr>
        <w:t>Kira's theatre</w:t>
      </w:r>
      <w:r>
        <w:t xml:space="preserve"> — enrolment confirmation showing Wednesdays 5.00–7.00pm from 7 September | ⭐ corroborates the Wednesday clash |</w:t>
      </w:r>
    </w:p>
    <w:p>
      <w:r>
        <w:t xml:space="preserve">| F7 | </w:t>
      </w:r>
      <w:r>
        <w:rPr>
          <w:b/>
        </w:rPr>
        <w:t>Riley's football</w:t>
      </w:r>
      <w:r>
        <w:t xml:space="preserve"> — registration, weekend fixture list, times | |</w:t>
      </w:r>
    </w:p>
    <w:p>
      <w:r>
        <w:t xml:space="preserve">| F8 | </w:t>
      </w:r>
      <w:r>
        <w:rPr>
          <w:b/>
        </w:rPr>
        <w:t>Kira's volleyball</w:t>
      </w:r>
      <w:r>
        <w:t xml:space="preserve"> — the completed six-week block: registration and payments | |</w:t>
      </w:r>
    </w:p>
    <w:p>
      <w:r>
        <w:t xml:space="preserve">| F9 | </w:t>
      </w:r>
      <w:r>
        <w:rPr>
          <w:b/>
        </w:rPr>
        <w:t>Bank statements with recurring club payments highlighted</w:t>
      </w:r>
      <w:r>
        <w:t xml:space="preserve"> — needs nobody's cooperation and covers all of F4–F8 at once | |</w:t>
      </w:r>
    </w:p>
    <w:p>
      <w:r>
        <w:t>| F10 | Photographs of family life, April to September 2026, dated | |</w:t>
      </w:r>
    </w:p>
    <w:p>
      <w:r>
        <w:t>| F11 | Optional: parent WhatsApp groups, birthday party invitations, play date arrangements | |</w:t>
      </w:r>
    </w:p>
    <w:p>
      <w:pPr>
        <w:pStyle w:val="Heading2"/>
      </w:pPr>
      <w:r>
        <w:t>G. The statements</w:t>
      </w:r>
    </w:p>
    <w:p>
      <w:r>
        <w:t>| | Item | Status |</w:t>
      </w:r>
    </w:p>
    <w:p>
      <w:r>
        <w:t>|---|---|---|</w:t>
      </w:r>
    </w:p>
    <w:p>
      <w:r>
        <w:t>| G1 | Your witness statement, signed and dated, with the statement of truth | |</w:t>
      </w:r>
    </w:p>
    <w:p>
      <w:r>
        <w:t>| G2 | Eaymon's witness statement, signed and dated | |</w:t>
      </w:r>
    </w:p>
    <w:p>
      <w:r>
        <w:t>| G3 | Covering letter and written representations | |</w:t>
      </w:r>
    </w:p>
    <w:p>
      <w:r>
        <w:t>| G4 | Index of enclosures | |</w:t>
      </w:r>
    </w:p>
    <w:p>
      <w:r>
        <w:t xml:space="preserve">⚠ Do </w:t>
      </w:r>
      <w:r>
        <w:rPr>
          <w:b/>
        </w:rPr>
        <w:t>not</w:t>
      </w:r>
      <w:r>
        <w:t xml:space="preserve"> put in statements from the children. At 13, 12 and 10 it adds nothing and it reads as coaching.</w:t>
      </w:r>
    </w:p>
    <w:p>
      <w:pPr>
        <w:pStyle w:val="Heading2"/>
      </w:pPr>
      <w:r>
        <w:t>H. Financial independence (s.117B(3))</w:t>
      </w:r>
    </w:p>
    <w:p>
      <w:r>
        <w:t>| | Item | Status |</w:t>
      </w:r>
    </w:p>
    <w:p>
      <w:r>
        <w:t>|---|---|---|</w:t>
      </w:r>
    </w:p>
    <w:p>
      <w:r>
        <w:t>| H1 | Eaymon's US payslips, last six months | |</w:t>
      </w:r>
    </w:p>
    <w:p>
      <w:r>
        <w:t>| H2 | Bank statements showing that income arriving | |</w:t>
      </w:r>
    </w:p>
    <w:p>
      <w:r>
        <w:t>| H3 | Evidence of accommodation (E1 covers it) | |</w:t>
      </w:r>
    </w:p>
    <w:p>
      <w:r>
        <w:t xml:space="preserve">Purpose: to show the family supports itself with no recourse to public funds. </w:t>
      </w:r>
      <w:r>
        <w:rPr>
          <w:b/>
        </w:rPr>
        <w:t>Not</w:t>
      </w:r>
      <w:r>
        <w:t xml:space="preserve"> to meet a financial requirement, because there is none on this route.</w:t>
      </w:r>
    </w:p>
    <w:p>
      <w:pPr>
        <w:pStyle w:val="Heading2"/>
      </w:pPr>
      <w:r>
        <w:t>I. The entry clearance rebuttal (section 8 of the covering letter)</w:t>
      </w:r>
    </w:p>
    <w:p>
      <w:r>
        <w:t>| | Item | Status |</w:t>
      </w:r>
    </w:p>
    <w:p>
      <w:r>
        <w:t>|---|---|---|</w:t>
      </w:r>
    </w:p>
    <w:p>
      <w:r>
        <w:t>| I1 | Beamhaus Ltd certificate of incorporation, 15 July 2026 — evidences that there is no completed financial year | |</w:t>
      </w:r>
    </w:p>
    <w:p>
      <w:r>
        <w:t>| I2 | The absence of a UK job offer is stated in Eaymon's statement; no document needed | |</w:t>
      </w:r>
    </w:p>
    <w:p>
      <w:pPr>
        <w:pStyle w:val="Heading2"/>
      </w:pPr>
      <w:r>
        <w:t>J. Conditional — only if it applies</w:t>
      </w:r>
    </w:p>
    <w:p>
      <w:r>
        <w:t>| | Item | When |</w:t>
      </w:r>
    </w:p>
    <w:p>
      <w:r>
        <w:t>|---|---|---|</w:t>
      </w:r>
    </w:p>
    <w:p>
      <w:r>
        <w:t xml:space="preserve">| J1 | Evidence of a retained base in Spain (residency, tenancy, utilities still running) | </w:t>
      </w:r>
      <w:r>
        <w:rPr>
          <w:b/>
        </w:rPr>
        <w:t>Only if you use Option A</w:t>
      </w:r>
      <w:r>
        <w:t xml:space="preserve"> in paragraph 8 of your statement |</w:t>
      </w:r>
    </w:p>
    <w:p>
      <w:r>
        <w:t>| J2 | After-school club confirmations, days and times | Only once actually booked |</w:t>
      </w:r>
    </w:p>
    <w:p>
      <w:r>
        <w:t>| J3 | Kira's volleyball place, day and time | Only once she has a place |</w:t>
      </w:r>
    </w:p>
    <w:p>
      <w:pPr>
        <w:pStyle w:val="Heading2"/>
      </w:pPr>
      <w:r>
        <w:t>Notes</w:t>
      </w:r>
    </w:p>
    <w:p>
      <w:pPr>
        <w:pStyle w:val="ListBullet"/>
      </w:pPr>
      <w:r>
        <w:rPr>
          <w:b/>
        </w:rPr>
        <w:t>No translations needed.</w:t>
      </w:r>
      <w:r>
        <w:t xml:space="preserve"> Everything is from the US, Canada or the UK and is already in English.</w:t>
      </w:r>
    </w:p>
    <w:p>
      <w:pPr>
        <w:pStyle w:val="ListBullet"/>
      </w:pPr>
      <w:r>
        <w:rPr>
          <w:b/>
        </w:rPr>
        <w:t>Do not post originals.</w:t>
      </w:r>
      <w:r>
        <w:t xml:space="preserve"> UKVCAS takes scans and uploads. Keep originals; send them only if asked.</w:t>
      </w:r>
    </w:p>
    <w:p>
      <w:pPr>
        <w:pStyle w:val="ListBullet"/>
      </w:pPr>
      <w:r>
        <w:t xml:space="preserve">⚠ </w:t>
      </w:r>
      <w:r>
        <w:rPr>
          <w:b/>
        </w:rPr>
        <w:t>HMPO may be holding original documents</w:t>
      </w:r>
      <w:r>
        <w:t xml:space="preserve"> for the passport applications. Confirm what they have and that it comes back with the passports, because you need the birth certificates.</w:t>
      </w:r>
    </w:p>
    <w:p>
      <w:pPr>
        <w:pStyle w:val="ListBullet"/>
      </w:pPr>
      <w:r>
        <w:t xml:space="preserve">Anything that firms up after you submit goes to the caseworker as </w:t>
      </w:r>
      <w:r>
        <w:rPr>
          <w:b/>
        </w:rPr>
        <w:t>supplementary evidence</w:t>
      </w:r>
      <w:r>
        <w:t>. That is normal and it is read. Do not delay filing for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